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ANEXO II</w:t>
            </w:r>
            <w:r w:rsidRPr="0051359F">
              <w:rPr>
                <w:bCs/>
                <w:sz w:val="18"/>
                <w:szCs w:val="18"/>
              </w:rPr>
              <w:t xml:space="preserve">. 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:rsidR="00006E82" w:rsidRPr="0051359F" w:rsidRDefault="0048787C" w:rsidP="007905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7905AD">
              <w:rPr>
                <w:b/>
                <w:sz w:val="18"/>
                <w:szCs w:val="18"/>
              </w:rPr>
              <w:t>2017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993C26" w:rsidRPr="004A79D4" w:rsidTr="00993C26">
        <w:trPr>
          <w:trHeight w:val="168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4A79D4">
              <w:rPr>
                <w:rFonts w:cs="Arial"/>
                <w:b/>
                <w:sz w:val="16"/>
                <w:szCs w:val="16"/>
              </w:rPr>
              <w:t>poder mancomunado</w:t>
            </w:r>
            <w:r w:rsidRPr="004A79D4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980315" w:rsidRPr="004A79D4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12E83">
        <w:trPr>
          <w:trHeight w:val="301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1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980315" w:rsidRPr="004A79D4" w:rsidRDefault="00980315" w:rsidP="0065363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:rsidTr="00993C26">
        <w:trPr>
          <w:trHeight w:val="189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ADICIONALIDAD de la ayuda o EFECTO INCENTIVADOR:</w:t>
            </w:r>
          </w:p>
          <w:p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4" w:anchor="NOTA8" w:history="1"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Ver Nota (6)</w:t>
              </w:r>
            </w:hyperlink>
          </w:p>
          <w:p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:rsidTr="00BB5F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INCIDENCIAS ECONÓMICAS Y/O TÉCNICAS RESPECTO AL PRESUPUESTO PRESENTADO</w:t>
            </w: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:rsidR="00BB5F27" w:rsidRPr="004760E9" w:rsidRDefault="00DC1A69" w:rsidP="00BB5F27">
            <w:pPr>
              <w:spacing w:line="360" w:lineRule="auto"/>
              <w:ind w:left="426"/>
              <w:rPr>
                <w:rStyle w:val="Hipervnculo"/>
                <w:color w:val="000000" w:themeColor="text1"/>
                <w:sz w:val="14"/>
                <w:szCs w:val="14"/>
              </w:rPr>
            </w:pPr>
            <w:hyperlink r:id="rId15" w:anchor="NOTA8" w:history="1">
              <w:r w:rsidR="003E2D42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7</w:t>
              </w:r>
              <w:r w:rsidR="00BB5F27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6" w:anchor="NOTA8" w:history="1"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8</w:t>
              </w:r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:rsidR="00BB5F27" w:rsidRPr="004760E9" w:rsidRDefault="00BB5F27" w:rsidP="00BB5F27">
            <w:pPr>
              <w:spacing w:before="0" w:after="0" w:line="360" w:lineRule="auto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C1A6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7" w:anchor="NOTA8" w:history="1"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9</w:t>
              </w:r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286A">
              <w:rPr>
                <w:rFonts w:cs="Arial"/>
                <w:b/>
                <w:sz w:val="16"/>
                <w:szCs w:val="16"/>
              </w:rPr>
              <w:t>ARCHIVO COMPRIMIDO</w:t>
            </w:r>
            <w:r w:rsidR="00980315" w:rsidRPr="0075286A">
              <w:rPr>
                <w:rFonts w:cs="Arial"/>
                <w:sz w:val="16"/>
                <w:szCs w:val="16"/>
              </w:rPr>
              <w:t>. Se ha comprobado que:</w:t>
            </w: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Contiene los justificantes del 100% del gasto imputado al proyecto </w:t>
            </w:r>
            <w:r w:rsidRPr="004A79D4">
              <w:rPr>
                <w:rFonts w:cs="Arial"/>
                <w:b/>
                <w:sz w:val="16"/>
                <w:szCs w:val="16"/>
                <w:u w:val="single"/>
              </w:rPr>
              <w:t>visados por el auditor</w:t>
            </w:r>
            <w:r w:rsidRPr="004A79D4">
              <w:rPr>
                <w:rFonts w:cs="Arial"/>
                <w:sz w:val="16"/>
                <w:szCs w:val="16"/>
              </w:rPr>
              <w:t xml:space="preserve">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8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0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la memoria económica.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980315" w:rsidRPr="004A79D4" w:rsidRDefault="00980315" w:rsidP="00993C2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980315" w:rsidRPr="004268EA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 xml:space="preserve">Que el coste directo se ha calculado de acuerdo a los importes de sueldo </w:t>
            </w:r>
            <w:r w:rsidRPr="00C51C83">
              <w:rPr>
                <w:rFonts w:cs="Arial"/>
                <w:sz w:val="16"/>
                <w:szCs w:val="16"/>
              </w:rPr>
              <w:t>bruto</w:t>
            </w:r>
            <w:r w:rsidR="003E2D42" w:rsidRPr="00C51C83">
              <w:rPr>
                <w:sz w:val="16"/>
                <w:szCs w:val="16"/>
              </w:rPr>
              <w:t xml:space="preserve"> anual de los 10T </w:t>
            </w:r>
          </w:p>
          <w:p w:rsidR="00980315" w:rsidRPr="004268EA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5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:rsidR="00C51C83" w:rsidRDefault="00C51C83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6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:rsidR="004268EA" w:rsidRPr="004268EA" w:rsidRDefault="004268EA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3E2D42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7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Pr="004268EA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Pr="004268EA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19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980315" w:rsidRPr="004268EA" w:rsidRDefault="00980315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</w:r>
            <w:r w:rsidR="00DC1A6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3E2D42"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0</w:t>
              </w:r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</w:t>
            </w:r>
            <w:r w:rsidR="004268EA">
              <w:rPr>
                <w:rFonts w:cs="Arial"/>
                <w:sz w:val="16"/>
                <w:szCs w:val="16"/>
              </w:rPr>
              <w:t>.</w:t>
            </w:r>
          </w:p>
          <w:p w:rsidR="00980315" w:rsidRPr="00B2795D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:rsidR="00980315" w:rsidRPr="000E6784" w:rsidRDefault="000E6784" w:rsidP="00993C26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55776">
                <w:rPr>
                  <w:rStyle w:val="Hipervnculo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980315" w:rsidRPr="004268EA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La adquisición </w:t>
            </w:r>
            <w:r w:rsidRPr="004268EA">
              <w:rPr>
                <w:sz w:val="16"/>
                <w:szCs w:val="16"/>
              </w:rPr>
              <w:t>de</w:t>
            </w:r>
            <w:r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No existen incidencias en el cálculo del importe del gasto de amortización </w:t>
            </w:r>
            <w:r w:rsidRPr="004A79D4">
              <w:rPr>
                <w:sz w:val="16"/>
                <w:szCs w:val="16"/>
              </w:rPr>
              <w:t>imputado el proyecto.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:rsidTr="008436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3631" w:rsidRPr="004A79D4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proyecto.</w:t>
            </w:r>
          </w:p>
          <w:p w:rsidR="00843631" w:rsidRDefault="00843631" w:rsidP="0084363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43631" w:rsidRPr="004760E9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de los gastos asociados al proyecto es: </w:t>
            </w: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760E9" w:rsidRPr="004760E9" w:rsidTr="00993C26">
              <w:tc>
                <w:tcPr>
                  <w:tcW w:w="5806" w:type="dxa"/>
                </w:tcPr>
                <w:p w:rsidR="00843631" w:rsidRPr="004760E9" w:rsidRDefault="00843631" w:rsidP="00993C26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843631" w:rsidRPr="00B2795D" w:rsidRDefault="00843631" w:rsidP="00843631">
            <w:pPr>
              <w:spacing w:before="0" w:after="0" w:line="360" w:lineRule="auto"/>
              <w:ind w:left="720"/>
              <w:rPr>
                <w:rFonts w:cs="Arial"/>
                <w:i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980315" w:rsidRPr="00B2795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36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No se ha incluido el IVA de las facturas u otros impuestos similares como gasto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i/>
                <w:sz w:val="14"/>
                <w:szCs w:val="14"/>
              </w:rPr>
            </w:r>
            <w:r w:rsidR="00DC1A6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i/>
                <w:sz w:val="14"/>
                <w:szCs w:val="14"/>
              </w:rPr>
            </w:r>
            <w:r w:rsidR="00DC1A69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980315" w:rsidRPr="00B2795D" w:rsidRDefault="00980315" w:rsidP="00993C26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i/>
                <w:sz w:val="14"/>
                <w:szCs w:val="14"/>
              </w:rPr>
            </w:r>
            <w:r w:rsidR="00DC1A6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37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>Las facturas están contabilizadas en el ejercicio correspondiente a las fechas de las facturas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6D53">
              <w:rPr>
                <w:rFonts w:cs="Arial"/>
                <w:sz w:val="16"/>
                <w:szCs w:val="16"/>
              </w:rPr>
              <w:t>y de ejecución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30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Default="00980315" w:rsidP="007906D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comprobado los asientos contables de las facturas y ha verificado que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no se ha imputado ninguna factura contabilizada como </w:t>
            </w:r>
            <w:proofErr w:type="gramStart"/>
            <w:r w:rsidRPr="004A79D4">
              <w:rPr>
                <w:rFonts w:cs="Arial"/>
                <w:b/>
                <w:sz w:val="16"/>
                <w:szCs w:val="16"/>
              </w:rPr>
              <w:t>inmovilizado</w:t>
            </w:r>
            <w:proofErr w:type="gramEnd"/>
            <w:r w:rsidRPr="004A79D4">
              <w:rPr>
                <w:rFonts w:cs="Arial"/>
                <w:b/>
                <w:sz w:val="16"/>
                <w:szCs w:val="16"/>
              </w:rPr>
              <w:t>.</w:t>
            </w:r>
          </w:p>
          <w:p w:rsidR="0075286A" w:rsidRDefault="0075286A" w:rsidP="007906D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75286A" w:rsidRPr="0001454F" w:rsidRDefault="0075286A" w:rsidP="0075286A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01454F">
              <w:rPr>
                <w:rFonts w:cs="Arial"/>
                <w:sz w:val="16"/>
                <w:szCs w:val="16"/>
              </w:rPr>
              <w:t>En caso de que el auditor detectara alguna factura contabilizada como inmovilizado deberá indicar el nº de la factura y de la cuenta contable en la que se ha contabilizado la factura: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75286A" w:rsidRPr="00440DBF" w:rsidTr="006644D5">
              <w:tc>
                <w:tcPr>
                  <w:tcW w:w="5806" w:type="dxa"/>
                </w:tcPr>
                <w:p w:rsidR="0075286A" w:rsidRPr="00440DBF" w:rsidRDefault="0075286A" w:rsidP="006644D5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01454F">
                    <w:rPr>
                      <w:rFonts w:cs="Arial"/>
                      <w:sz w:val="16"/>
                      <w:szCs w:val="16"/>
                    </w:rPr>
                    <w:t>nº cta.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5286A" w:rsidRPr="004A79D4" w:rsidRDefault="0075286A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9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755776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094ADE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Ninguno de los gastos imputados al proyecto tiene una fecha anterior a la presentación formal de la solicitud de la ayuda.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2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B37F3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Los justificantes de gasto y pago son documentos de valor probatorio con validez en el tráfico jurídico mercantil o con eficacia administrativa.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3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4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r w:rsidRPr="000E6784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0E6784" w:rsidRDefault="00980315" w:rsidP="00993C2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hyperlink r:id="rId45" w:anchor="NOTA10" w:history="1"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1B48B7">
        <w:trPr>
          <w:trHeight w:val="214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Pr="00755776" w:rsidRDefault="00630F55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lastRenderedPageBreak/>
              <w:t xml:space="preserve">Se ha comprobado que </w:t>
            </w:r>
            <w:r w:rsidR="008C6400" w:rsidRPr="00755776">
              <w:rPr>
                <w:rFonts w:cs="Arial"/>
                <w:sz w:val="16"/>
                <w:szCs w:val="16"/>
              </w:rPr>
              <w:t>el</w:t>
            </w:r>
            <w:r w:rsidRPr="00755776">
              <w:rPr>
                <w:rFonts w:cs="Arial"/>
                <w:sz w:val="16"/>
                <w:szCs w:val="16"/>
              </w:rPr>
              <w:t xml:space="preserve"> Agente Científico-Tecnológico</w:t>
            </w:r>
            <w:r w:rsidR="000E6784" w:rsidRPr="00755776">
              <w:rPr>
                <w:rFonts w:cs="Arial"/>
                <w:sz w:val="16"/>
                <w:szCs w:val="16"/>
              </w:rPr>
              <w:t>:</w:t>
            </w:r>
          </w:p>
          <w:p w:rsidR="000E6784" w:rsidRPr="00755776" w:rsidRDefault="000E6784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:rsidR="000E6784" w:rsidRDefault="000E6784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05815" w:rsidRPr="00755776" w:rsidRDefault="000E6784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</w:t>
            </w:r>
            <w:r w:rsidR="00805815" w:rsidRPr="00755776">
              <w:rPr>
                <w:rFonts w:cs="Arial"/>
                <w:sz w:val="16"/>
                <w:szCs w:val="16"/>
              </w:rPr>
              <w:t xml:space="preserve"> (apartado 2.2.1 del Marco Comunitario (DOUE, C 198, de 27.06.2014))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7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0E6784" w:rsidRDefault="000E6784" w:rsidP="000E678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sz w:val="14"/>
                <w:szCs w:val="14"/>
              </w:rPr>
            </w:r>
            <w:r w:rsidR="00DC1A6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recibido otras ayudas para 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993C26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9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DC1A69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en el punto </w:t>
            </w:r>
            <w:r w:rsidR="00DC1A69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993C26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C1A69">
              <w:rPr>
                <w:rFonts w:cs="Arial"/>
                <w:b/>
                <w:sz w:val="14"/>
                <w:szCs w:val="14"/>
              </w:rPr>
            </w:r>
            <w:r w:rsidR="00DC1A6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8C6400" w:rsidRDefault="008C6400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  <w:bookmarkStart w:id="0" w:name="_GoBack"/>
      <w:bookmarkEnd w:id="0"/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C2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993C2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 w:rsidRPr="008B3B53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Pr="008B3B53">
        <w:rPr>
          <w:rFonts w:cs="Arial"/>
          <w:b/>
          <w:sz w:val="16"/>
          <w:szCs w:val="16"/>
        </w:rPr>
        <w:t xml:space="preserve">en la anualidad </w:t>
      </w:r>
      <w:r w:rsidR="008B3B53" w:rsidRPr="008B3B53">
        <w:rPr>
          <w:rFonts w:cs="Arial"/>
          <w:b/>
          <w:sz w:val="16"/>
          <w:szCs w:val="16"/>
        </w:rPr>
        <w:t>2017</w:t>
      </w:r>
      <w:r w:rsidR="00805815" w:rsidRPr="008B3B53">
        <w:rPr>
          <w:rFonts w:cs="Arial"/>
          <w:b/>
          <w:sz w:val="16"/>
          <w:szCs w:val="16"/>
        </w:rPr>
        <w:t>/</w:t>
      </w:r>
      <w:r w:rsidR="008B3B53" w:rsidRPr="008B3B53">
        <w:rPr>
          <w:rFonts w:cs="Arial"/>
          <w:b/>
          <w:sz w:val="16"/>
          <w:szCs w:val="16"/>
        </w:rPr>
        <w:t>2018</w:t>
      </w:r>
      <w:r w:rsidRPr="008B3B53">
        <w:rPr>
          <w:rFonts w:cs="Arial"/>
          <w:sz w:val="16"/>
          <w:szCs w:val="16"/>
        </w:rPr>
        <w:t xml:space="preserve"> </w:t>
      </w:r>
      <w:r w:rsidR="00993C26" w:rsidRPr="008B3B53">
        <w:rPr>
          <w:rFonts w:cs="Arial"/>
          <w:sz w:val="16"/>
          <w:szCs w:val="16"/>
        </w:rPr>
        <w:t>(</w:t>
      </w:r>
      <w:r w:rsidR="00993C26" w:rsidRPr="008B3B53">
        <w:rPr>
          <w:rFonts w:cs="Arial"/>
          <w:i/>
          <w:color w:val="000000" w:themeColor="text1"/>
          <w:sz w:val="16"/>
          <w:szCs w:val="16"/>
        </w:rPr>
        <w:t>tachar lo que no proceda</w:t>
      </w:r>
      <w:r w:rsidR="00993C26" w:rsidRPr="008B3B53">
        <w:rPr>
          <w:rFonts w:cs="Arial"/>
          <w:color w:val="000000" w:themeColor="text1"/>
          <w:sz w:val="16"/>
          <w:szCs w:val="16"/>
        </w:rPr>
        <w:t xml:space="preserve">) </w:t>
      </w:r>
      <w:r w:rsidRPr="008B3B53">
        <w:rPr>
          <w:rFonts w:cs="Arial"/>
          <w:sz w:val="16"/>
          <w:szCs w:val="16"/>
        </w:rPr>
        <w:t>en cada concepto de gasto es el siguiente: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418"/>
        <w:gridCol w:w="1558"/>
        <w:gridCol w:w="1560"/>
      </w:tblGrid>
      <w:tr w:rsidR="007A2008" w:rsidRPr="000E0C79" w:rsidTr="007A2008">
        <w:trPr>
          <w:tblHeader/>
        </w:trPr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812" w:type="pct"/>
            <w:shd w:val="clear" w:color="auto" w:fill="F2F2F2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811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NOTAS QUE LO MOTIVAN</w:t>
            </w: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993C26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Otros </w:t>
            </w:r>
            <w:r w:rsidRPr="000E0C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91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shd w:val="clear" w:color="auto" w:fill="FFFFFF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FFFFFF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/>
                <w:bCs/>
                <w:sz w:val="16"/>
                <w:szCs w:val="16"/>
              </w:rP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(*)</w:t>
      </w:r>
      <w:r w:rsidRPr="000E0C79">
        <w:rPr>
          <w:rFonts w:cs="Arial"/>
          <w:sz w:val="16"/>
          <w:szCs w:val="16"/>
        </w:rPr>
        <w:t xml:space="preserve"> Según la Resolución de Concesión</w:t>
      </w: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51"/>
      <w:footerReference w:type="default" r:id="rId52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AD" w:rsidRDefault="007905AD" w:rsidP="005338B5">
      <w:pPr>
        <w:spacing w:before="0" w:after="0"/>
      </w:pPr>
      <w:r>
        <w:separator/>
      </w:r>
    </w:p>
  </w:endnote>
  <w:endnote w:type="continuationSeparator" w:id="0">
    <w:p w:rsidR="007905AD" w:rsidRDefault="007905AD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905AD" w:rsidRPr="00B2795D" w:rsidRDefault="007905AD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DC1A69">
          <w:rPr>
            <w:noProof/>
            <w:sz w:val="12"/>
            <w:szCs w:val="12"/>
          </w:rPr>
          <w:t>5</w:t>
        </w:r>
        <w:r w:rsidRPr="00B2795D">
          <w:rPr>
            <w:sz w:val="12"/>
            <w:szCs w:val="12"/>
          </w:rPr>
          <w:fldChar w:fldCharType="end"/>
        </w:r>
      </w:p>
    </w:sdtContent>
  </w:sdt>
  <w:p w:rsidR="007905AD" w:rsidRPr="00B2795D" w:rsidRDefault="007905AD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AD" w:rsidRDefault="007905AD" w:rsidP="005338B5">
      <w:pPr>
        <w:spacing w:before="0" w:after="0"/>
      </w:pPr>
      <w:r>
        <w:separator/>
      </w:r>
    </w:p>
  </w:footnote>
  <w:footnote w:type="continuationSeparator" w:id="0">
    <w:p w:rsidR="007905AD" w:rsidRDefault="007905AD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AD" w:rsidRDefault="007905AD" w:rsidP="005E0B8E">
    <w:pPr>
      <w:pStyle w:val="Encabezado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AD" w:rsidRPr="005338B5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7905AD" w:rsidRPr="00211FEF" w:rsidRDefault="007905AD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905AD" w:rsidRPr="00211FEF" w:rsidRDefault="007905AD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7905AD" w:rsidRPr="005338B5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7905AD" w:rsidRPr="00211FEF" w:rsidRDefault="007905AD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7905AD" w:rsidRPr="00211FEF" w:rsidRDefault="007905AD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AD" w:rsidRPr="005338B5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 ETA LEHIAKORTASUN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7905AD" w:rsidRPr="00211FEF" w:rsidRDefault="007905AD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905AD" w:rsidRPr="00211FEF" w:rsidRDefault="007905AD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7905AD" w:rsidRPr="005338B5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 ETA LEHIAKORTASUN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7905AD" w:rsidRPr="00211FEF" w:rsidRDefault="007905AD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7905AD" w:rsidRPr="00211FEF" w:rsidRDefault="007905AD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5778615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94ADE"/>
    <w:rsid w:val="000E0C79"/>
    <w:rsid w:val="000E6784"/>
    <w:rsid w:val="000F12F7"/>
    <w:rsid w:val="000F13BD"/>
    <w:rsid w:val="0010060D"/>
    <w:rsid w:val="00101A15"/>
    <w:rsid w:val="00103F64"/>
    <w:rsid w:val="00112ACE"/>
    <w:rsid w:val="0011549B"/>
    <w:rsid w:val="0015433D"/>
    <w:rsid w:val="00187B6E"/>
    <w:rsid w:val="001A4B41"/>
    <w:rsid w:val="001B48B7"/>
    <w:rsid w:val="001C044E"/>
    <w:rsid w:val="001D2F67"/>
    <w:rsid w:val="001E63CC"/>
    <w:rsid w:val="00206C9A"/>
    <w:rsid w:val="002200AC"/>
    <w:rsid w:val="00253BC9"/>
    <w:rsid w:val="00266FFB"/>
    <w:rsid w:val="00280D41"/>
    <w:rsid w:val="002C13A6"/>
    <w:rsid w:val="002D3256"/>
    <w:rsid w:val="00327F1E"/>
    <w:rsid w:val="003678FF"/>
    <w:rsid w:val="003D2C9A"/>
    <w:rsid w:val="003D3F76"/>
    <w:rsid w:val="003E2C7A"/>
    <w:rsid w:val="003E2D42"/>
    <w:rsid w:val="00406AB5"/>
    <w:rsid w:val="004175EC"/>
    <w:rsid w:val="004268EA"/>
    <w:rsid w:val="00426C05"/>
    <w:rsid w:val="004760E9"/>
    <w:rsid w:val="0048787C"/>
    <w:rsid w:val="004A79D4"/>
    <w:rsid w:val="004C36BD"/>
    <w:rsid w:val="004E4070"/>
    <w:rsid w:val="004F665E"/>
    <w:rsid w:val="0051359F"/>
    <w:rsid w:val="00526178"/>
    <w:rsid w:val="005338B5"/>
    <w:rsid w:val="00546DE6"/>
    <w:rsid w:val="00566D53"/>
    <w:rsid w:val="00575A9F"/>
    <w:rsid w:val="00597775"/>
    <w:rsid w:val="005A64DB"/>
    <w:rsid w:val="005C5A4B"/>
    <w:rsid w:val="005E0B8E"/>
    <w:rsid w:val="005F5DDE"/>
    <w:rsid w:val="00624CAD"/>
    <w:rsid w:val="00630F55"/>
    <w:rsid w:val="006341D3"/>
    <w:rsid w:val="0065363D"/>
    <w:rsid w:val="006638ED"/>
    <w:rsid w:val="006728A0"/>
    <w:rsid w:val="00684280"/>
    <w:rsid w:val="006B37F3"/>
    <w:rsid w:val="006E0069"/>
    <w:rsid w:val="007305A3"/>
    <w:rsid w:val="0073105E"/>
    <w:rsid w:val="0075286A"/>
    <w:rsid w:val="00754FB1"/>
    <w:rsid w:val="00755776"/>
    <w:rsid w:val="007574C9"/>
    <w:rsid w:val="00760644"/>
    <w:rsid w:val="007905AD"/>
    <w:rsid w:val="007906DD"/>
    <w:rsid w:val="007A2008"/>
    <w:rsid w:val="007A224A"/>
    <w:rsid w:val="007D0ABC"/>
    <w:rsid w:val="007F47EE"/>
    <w:rsid w:val="00805815"/>
    <w:rsid w:val="00807F54"/>
    <w:rsid w:val="008241EA"/>
    <w:rsid w:val="00825485"/>
    <w:rsid w:val="00843631"/>
    <w:rsid w:val="00851AB1"/>
    <w:rsid w:val="008822F3"/>
    <w:rsid w:val="008A0C37"/>
    <w:rsid w:val="008B3B53"/>
    <w:rsid w:val="008C6400"/>
    <w:rsid w:val="00900273"/>
    <w:rsid w:val="00952718"/>
    <w:rsid w:val="0095658A"/>
    <w:rsid w:val="00980315"/>
    <w:rsid w:val="0098167B"/>
    <w:rsid w:val="00993C26"/>
    <w:rsid w:val="009A2ACF"/>
    <w:rsid w:val="009C7EED"/>
    <w:rsid w:val="00A12E83"/>
    <w:rsid w:val="00A27970"/>
    <w:rsid w:val="00A507B4"/>
    <w:rsid w:val="00A6451D"/>
    <w:rsid w:val="00A7239A"/>
    <w:rsid w:val="00AF4AFC"/>
    <w:rsid w:val="00B2795D"/>
    <w:rsid w:val="00B654C7"/>
    <w:rsid w:val="00B87212"/>
    <w:rsid w:val="00BA094D"/>
    <w:rsid w:val="00BB5F27"/>
    <w:rsid w:val="00BC21A8"/>
    <w:rsid w:val="00BD5833"/>
    <w:rsid w:val="00BF4F18"/>
    <w:rsid w:val="00C163B0"/>
    <w:rsid w:val="00C51C83"/>
    <w:rsid w:val="00C77199"/>
    <w:rsid w:val="00CA6027"/>
    <w:rsid w:val="00D0249B"/>
    <w:rsid w:val="00D53222"/>
    <w:rsid w:val="00D80159"/>
    <w:rsid w:val="00DC1A69"/>
    <w:rsid w:val="00E16399"/>
    <w:rsid w:val="00E5310D"/>
    <w:rsid w:val="00E72527"/>
    <w:rsid w:val="00EB78E4"/>
    <w:rsid w:val="00F31A06"/>
    <w:rsid w:val="00F43E1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3772-0E86-41BE-8378-3A11E7A3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3100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26</cp:revision>
  <cp:lastPrinted>2016-02-16T09:20:00Z</cp:lastPrinted>
  <dcterms:created xsi:type="dcterms:W3CDTF">2016-02-12T12:21:00Z</dcterms:created>
  <dcterms:modified xsi:type="dcterms:W3CDTF">2018-01-19T09:06:00Z</dcterms:modified>
</cp:coreProperties>
</file>